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Georgia" w:cs="Georgia" w:eastAsia="Georgia" w:hAnsi="Georgia"/>
          <w:b/>
          <w:bCs/>
          <w:color w:val="1F3B57"/>
          <w:sz w:val="32"/>
          <w:szCs w:val="32"/>
        </w:rPr>
        <w:t xml:space="preserve">AKURE INTERNATIONAL MEDICAL VILLAGE</w:t>
      </w:r>
    </w:p>
    <w:p>
      <w:pPr>
        <w:pBdr>
          <w:bottom w:val="single" w:color="8A6D1F" w:sz="6" w:space="6"/>
        </w:pBdr>
        <w:spacing w:after="240"/>
        <w:jc w:val="center"/>
      </w:pPr>
      <w:r>
        <w:rPr>
          <w:rFonts w:ascii="Georgia" w:cs="Georgia" w:eastAsia="Georgia" w:hAnsi="Georgia"/>
          <w:b/>
          <w:bCs/>
          <w:color w:val="8A6D1F"/>
          <w:sz w:val="24"/>
          <w:szCs w:val="24"/>
        </w:rPr>
        <w:t xml:space="preserve">Proposed Partnership Term Sheet — State of the African Diaspora (SOAD)</w:t>
      </w:r>
    </w:p>
    <w:p>
      <w:pPr>
        <w:spacing w:after="160" w:line="276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This indicative, non-binding term sheet summarizes the partnership proposed between the State of the African Diaspora (“SOAD”) and the project development consortium represented by Dr. Korede Olumide Oluwatuyi (“the Sponsors”), and — upon execution of the PPDP agreements — the Government of Ondo State, for the development of the Akure International Medical Village (“the Project”). It is a basis for negotiation only; no obligations arise except under definitive agreements.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00"/>
      </w:tblGrid>
      <w:tr>
        <w:tc>
          <w:tcPr>
            <w:tcW w:type="dxa" w:w="28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Term</w:t>
            </w:r>
          </w:p>
        </w:tc>
        <w:tc>
          <w:tcPr>
            <w:tcW w:type="dxa" w:w="68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Proposed Provision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Parties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SOAD; the Sponsors; AIMV Development Company (SPV, to be incorporated); Government of Ondo State (under the PPDP agreements)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SOAD role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Anchor funding partner; Diaspora capital mobilizer; convener with continental institutions and DFIs; governance participant; patron of the Diaspora Medical Corps and twinning programmes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Anchor commitment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Indicatively 12.5% of total project sources (~US$250m at mid-case), by direct investment and/or funds mobilized under SOAD sponsorship, committed in tranches matched to Phases 0–2; the anchor commitment is a condition precedent to public launch of the Diaspora Bond Programme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Bond endorsement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SOAD formally endorses the AIMV Diaspora Bond Programme and provides marketing access through its ministries, embassies and partner organisations; all issuance exclusively through regulated channels with an independent trustee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Governance rights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Two seats on the SPV Board (of a Board of nine to eleven); one trustee on the Community Health Endowment Fund; membership of the Nominations and the Community &amp; Endowment committees; reserved-matter consent rights protecting mission items (Endowment charter, Diaspora Medical Corps, accreditation commitment)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Economic rights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Anchor equity ranks pari passu with sponsor equity; pre-emption and anti-dilution on future rounds; dividend policy per shareholders' agreement after debt-service thresholds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Diaspora programmes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Joint establishment of the Diaspora Medical Corps, Diaspora scholarship quotas, twinning agreements and the Endowment giving channel, each under a programme charter annexed to the definitive agreements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Conditions precedent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Satisfactory due diligence; land grant and Certificate of Occupancy from Ondo State; feasibility and ESIA completion; regulatory approvals for offerings; definitive PPDP, shareholders' and concession agreements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Exclusivity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Ninety days' mutual exclusivity from execution of this term sheet to negotiate definitive agreements, extendable by consent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Costs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Each party bears its own costs to financial close; SPV reimburses agreed transaction costs at close</w:t>
            </w:r>
          </w:p>
        </w:tc>
      </w:tr>
      <w:tr>
        <w:tc>
          <w:tcPr>
            <w:tcW w:type="dxa" w:w="2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Confidentiality &amp; law</w:t>
            </w:r>
          </w:p>
        </w:tc>
        <w:tc>
          <w:tcPr>
            <w:tcW w:type="dxa" w:w="6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Mutual confidentiality; term sheet non-binding except exclusivity, confidentiality and costs; governing law to be agreed (England &amp; Wales or New York proposed for definitive finance documents; Nigerian law for land and concession instruments)</w:t>
            </w:r>
          </w:p>
        </w:tc>
      </w:tr>
      <w:tr>
        <w:tc>
          <w:tcPr>
            <w:tcW w:type="dxa" w:w="2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Next steps</w:t>
            </w:r>
          </w:p>
        </w:tc>
        <w:tc>
          <w:tcPr>
            <w:tcW w:type="dxa" w:w="6800"/>
            <w:shd w:fill="F2F2F2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(1) SOAD working delegation appointed; (2) joint session with Ondo State; (3) MoU signature; (4) feasibility commissioning; (5) definitive documentation</w:t>
            </w:r>
          </w:p>
        </w:tc>
      </w:tr>
    </w:tbl>
    <w:p>
      <w:pPr>
        <w:spacing w:after="120"/>
      </w:pPr>
    </w:p>
    <w:p>
      <w:pPr>
        <w:spacing w:after="160" w:line="276"/>
        <w:jc w:val="both"/>
      </w:pPr>
      <w:r>
        <w:rPr>
          <w:rFonts w:ascii="Georgia" w:cs="Georgia" w:eastAsia="Georgia" w:hAnsi="Georgia"/>
          <w:sz w:val="22"/>
          <w:szCs w:val="22"/>
        </w:rPr>
        <w:t xml:space="preserve">For discussion. Prepared by the Sponsors, July 2026.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0"/>
        <w:gridCol w:w="4800"/>
      </w:tblGrid>
      <w:tr>
        <w:tc>
          <w:tcPr>
            <w:tcW w:type="dxa" w:w="48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For the Sponsors</w:t>
            </w:r>
          </w:p>
        </w:tc>
        <w:tc>
          <w:tcPr>
            <w:tcW w:type="dxa" w:w="4800"/>
            <w:shd w:fill="1F3B57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20"/>
                <w:szCs w:val="20"/>
              </w:rPr>
              <w:t xml:space="preserve">For the State of the African Diaspora</w:t>
            </w:r>
          </w:p>
        </w:tc>
      </w:tr>
      <w:tr>
        <w:tc>
          <w:tcPr>
            <w:tcW w:type="dxa" w:w="4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
_________________________
Dr. Korede Olumide Oluwatuyi
MBBS, FWACP (Paediatrics), FISN/IPNA (Calgary), PhD (Public Health, in view)
Akure International Medical City Development Consultant
Date:</w:t>
            </w:r>
          </w:p>
        </w:tc>
        <w:tc>
          <w:tcPr>
            <w:tcW w:type="dxa" w:w="4800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pPr>
              <w:jc w:val="left"/>
            </w:pPr>
            <w:r>
              <w:rPr>
                <w:rFonts w:ascii="Georgia" w:cs="Georgia" w:eastAsia="Georgia" w:hAnsi="Georgia"/>
                <w:b w:val="false"/>
                <w:bCs w:val="false"/>
                <w:color w:val="000000"/>
                <w:sz w:val="20"/>
                <w:szCs w:val="20"/>
              </w:rPr>
              <w:t xml:space="preserve">
_________________________
Name:
Title:
Date:</w:t>
            </w:r>
          </w:p>
        </w:tc>
      </w:tr>
    </w:tbl>
    <w:sectPr>
      <w:footerReference w:type="default" r:id="rId7"/>
      <w:pgSz w:w="11906" w:h="16838" w:orient="portrait"/>
      <w:pgMar w:top="1150" w:right="1350" w:bottom="115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Georgia" w:cs="Georgia" w:eastAsia="Georgia" w:hAnsi="Georgia"/>
        <w:color w:val="595959"/>
        <w:sz w:val="16"/>
        <w:szCs w:val="16"/>
      </w:rPr>
      <w:t xml:space="preserve">Indicative &amp; non-binding  |  Confidential  |  Page </w:t>
    </w:r>
    <w:r>
      <w:rPr>
        <w:rFonts w:ascii="Georgia" w:cs="Georgia" w:eastAsia="Georgia" w:hAnsi="Georgia"/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2026-07-30T06:55:41.287Z</dcterms:created>
  <dcterms:modified xsi:type="dcterms:W3CDTF">2026-07-30T06:55:41.288Z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